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9765AD" w:rsidRDefault="000E7BE5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2CFC">
        <w:rPr>
          <w:rFonts w:ascii="Times New Roman" w:eastAsia="Times New Roman" w:hAnsi="Times New Roman" w:cs="Times New Roman"/>
          <w:sz w:val="28"/>
          <w:szCs w:val="28"/>
        </w:rPr>
        <w:t>28.10.2022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21E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CFC">
        <w:rPr>
          <w:rFonts w:ascii="Times New Roman" w:eastAsia="Times New Roman" w:hAnsi="Times New Roman" w:cs="Times New Roman"/>
          <w:sz w:val="28"/>
          <w:szCs w:val="28"/>
        </w:rPr>
        <w:t xml:space="preserve">982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E7BE5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857E7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EC767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sz w:val="28"/>
                <w:szCs w:val="28"/>
              </w:rPr>
              <w:t xml:space="preserve"> </w:t>
            </w:r>
            <w:r w:rsidR="00497814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2 682 022,268</w:t>
            </w:r>
            <w:r w:rsidR="001F3F95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765AD" w:rsidRDefault="0043707C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9765AD" w:rsidRDefault="00DD386F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 w:rsidRPr="009765AD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A1E0B" w:rsidRPr="009765AD" w:rsidRDefault="00CA1E0B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203 327,425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6CD5" w:rsidRPr="009765AD" w:rsidRDefault="00E66CD5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A73A0" w:rsidRPr="009765AD" w:rsidRDefault="009A73A0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7636F">
              <w:rPr>
                <w:rFonts w:ascii="Times New Roman" w:hAnsi="Times New Roman" w:cs="Times New Roman"/>
                <w:sz w:val="28"/>
                <w:szCs w:val="28"/>
              </w:rPr>
              <w:t>367 612,895</w:t>
            </w:r>
            <w:r w:rsidR="00825BB2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A1E0B"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3A0" w:rsidRPr="009765AD" w:rsidRDefault="009A73A0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D386F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E21AF">
              <w:rPr>
                <w:rFonts w:ascii="Times New Roman" w:hAnsi="Times New Roman" w:cs="Times New Roman"/>
                <w:sz w:val="28"/>
                <w:szCs w:val="28"/>
              </w:rPr>
              <w:t>309 078,458</w:t>
            </w:r>
            <w:r w:rsidR="00F3466C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E0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A1E0B" w:rsidRDefault="00CA1E0B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E21AF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7636F" w:rsidRPr="009765AD" w:rsidRDefault="0037636F" w:rsidP="00376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B43F7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</w:tbl>
    <w:p w:rsidR="00875EC4" w:rsidRPr="009765AD" w:rsidRDefault="00CC6BB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Courier New" w:eastAsia="Times New Roman" w:hAnsi="Courier New" w:cs="Courier New"/>
          <w:sz w:val="28"/>
          <w:szCs w:val="28"/>
        </w:rPr>
        <w:lastRenderedPageBreak/>
        <w:t xml:space="preserve"> </w:t>
      </w: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 w:rsidRPr="009765AD"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Туруханского района авиаперевозки играют весьма важную роль в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 Туруханск, в 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За 2021 год количество ДТП снизилось на 38%, численность пострадавших снизилась на 75%, количество нарушений ПДД снизилось на 27%, нарушений ПДД РФ, ответственность за которые предусмотрена ст. ст. 12.8, 12.26 КоАП РФ – на 34%, количество нарушений пользования ремнями безопасности снизилось на 13%, число неудовлетворительных условий улично-дорожной сети, выявленных в результате патрулирования улиц населенных пунктов района инспекторским составом ГИБДД, снизилось на 43%.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Наличие совершаемых ДТП, в результате которых пострадавшие получают травмы, характеризующиеся особой степенью тяжести, требует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дальнейшего развития направления по оказанию первой медицинской помощи лицам, пострадавшим в результате таких ДТП.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9765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Автомобильный транспорт. На территории района действуют два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>: ОАО «Горизонт» (с. Туруханск), ООО «</w:t>
      </w:r>
      <w:proofErr w:type="spellStart"/>
      <w:r w:rsidRPr="009765AD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Pr="009765AD">
        <w:rPr>
          <w:rFonts w:ascii="Times New Roman" w:hAnsi="Times New Roman" w:cs="Times New Roman"/>
          <w:sz w:val="28"/>
          <w:szCs w:val="28"/>
        </w:rPr>
        <w:t xml:space="preserve">» 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осуществляются по 13 маршрутам общей протяженностью 278,46 км. </w:t>
      </w:r>
      <w:r w:rsidRPr="009765AD"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на территории района в 2021 году составило более 220,326 тыс. чел.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Воздушные транспорт. Внутрирайонные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21AF">
        <w:rPr>
          <w:rFonts w:ascii="Times New Roman" w:hAnsi="Times New Roman" w:cs="Times New Roman"/>
          <w:sz w:val="28"/>
          <w:szCs w:val="28"/>
        </w:rPr>
        <w:t>ЮТэйр</w:t>
      </w:r>
      <w:proofErr w:type="spellEnd"/>
      <w:r w:rsidR="00DE21AF">
        <w:rPr>
          <w:rFonts w:ascii="Times New Roman" w:hAnsi="Times New Roman" w:cs="Times New Roman"/>
          <w:sz w:val="28"/>
          <w:szCs w:val="28"/>
        </w:rPr>
        <w:t xml:space="preserve">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авиакомпанией пассажиров в 202</w:t>
      </w:r>
      <w:r w:rsidR="00BB1540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5,964 тыс. чел. В прогнозируемом периоде до 202</w:t>
      </w:r>
      <w:r w:rsidR="00BB1540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 CYR" w:hAnsi="Times New Roman CYR" w:cs="Times New Roman CYR"/>
          <w:sz w:val="28"/>
          <w:szCs w:val="28"/>
        </w:rPr>
        <w:t>Количество перевезенных в 2021 году пассажиров речным транспортом составило 42,760</w:t>
      </w:r>
      <w:r w:rsidRPr="009765AD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тыс. чел. </w:t>
      </w:r>
      <w:r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BB1540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202</w:t>
      </w:r>
      <w:r w:rsidR="00BB1540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2025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37636F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2.  Предоставление субсидии на приобретение и доставку автобуса </w:t>
      </w:r>
      <w:r w:rsidR="00DE21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с. Ворогово;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приобретение и доставку топлива для нужд Туруханского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5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9765AD">
        <w:rPr>
          <w:b w:val="0"/>
        </w:rPr>
        <w:t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9765AD">
        <w:rPr>
          <w:rFonts w:ascii="Times New Roman" w:hAnsi="Times New Roman" w:cs="Times New Roman"/>
          <w:sz w:val="28"/>
          <w:szCs w:val="28"/>
        </w:rPr>
        <w:t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     района возрастет 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</w:t>
      </w:r>
      <w:bookmarkEnd w:id="0"/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EA49C8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857E74">
      <w:rPr>
        <w:noProof/>
      </w:rPr>
      <w:t>13</w:t>
    </w:r>
    <w:r w:rsidRPr="00B10E09">
      <w:fldChar w:fldCharType="end"/>
    </w:r>
  </w:p>
  <w:p w:rsidR="0007557A" w:rsidRDefault="00857E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21EBF"/>
    <w:rsid w:val="006267B6"/>
    <w:rsid w:val="0062762A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DAE"/>
    <w:rsid w:val="006D17A2"/>
    <w:rsid w:val="006E24DE"/>
    <w:rsid w:val="006E3203"/>
    <w:rsid w:val="006E6858"/>
    <w:rsid w:val="006E75F9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57E74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0AA1"/>
    <w:rsid w:val="00CF1A9D"/>
    <w:rsid w:val="00D02CBF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7601-A06A-4D94-8058-C15BD65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E72E-7ADA-48BC-9C7E-3061C9C6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13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54</cp:revision>
  <cp:lastPrinted>2022-11-14T09:05:00Z</cp:lastPrinted>
  <dcterms:created xsi:type="dcterms:W3CDTF">2018-10-05T08:56:00Z</dcterms:created>
  <dcterms:modified xsi:type="dcterms:W3CDTF">2023-02-20T06:35:00Z</dcterms:modified>
</cp:coreProperties>
</file>